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9" w:rsidRPr="00E110C3" w:rsidRDefault="00042369" w:rsidP="00042369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КРАСНОЯРСКИЙ КРАЙ БАЛАХТИНСКИЙ РАЙОН</w:t>
      </w:r>
    </w:p>
    <w:p w:rsidR="00042369" w:rsidRPr="00E110C3" w:rsidRDefault="00042369" w:rsidP="00042369">
      <w:pPr>
        <w:jc w:val="center"/>
        <w:rPr>
          <w:sz w:val="28"/>
          <w:szCs w:val="28"/>
        </w:rPr>
      </w:pPr>
      <w:r w:rsidRPr="00E110C3">
        <w:rPr>
          <w:sz w:val="28"/>
          <w:szCs w:val="28"/>
        </w:rPr>
        <w:t>АДМИНИСТРАЦИЯ КРАСНЕНСКОГО СЕЛЬСОВЕТА</w:t>
      </w:r>
    </w:p>
    <w:p w:rsidR="00042369" w:rsidRPr="00E110C3" w:rsidRDefault="00042369" w:rsidP="00042369">
      <w:pPr>
        <w:jc w:val="both"/>
        <w:rPr>
          <w:sz w:val="28"/>
          <w:szCs w:val="28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ПОСТАНОВЛЕНИЕ</w:t>
      </w:r>
    </w:p>
    <w:p w:rsidR="00042369" w:rsidRDefault="00042369" w:rsidP="00042369">
      <w:pPr>
        <w:rPr>
          <w:sz w:val="28"/>
          <w:szCs w:val="28"/>
        </w:rPr>
      </w:pPr>
    </w:p>
    <w:p w:rsidR="00042369" w:rsidRPr="00A733D1" w:rsidRDefault="00042369" w:rsidP="00042369">
      <w:r>
        <w:t>от 08.11.2011 г.</w:t>
      </w:r>
      <w:r w:rsidRPr="00A733D1">
        <w:t xml:space="preserve">          </w:t>
      </w:r>
      <w:r>
        <w:t xml:space="preserve">                             </w:t>
      </w:r>
      <w:r w:rsidRPr="00A733D1">
        <w:t xml:space="preserve"> </w:t>
      </w:r>
      <w:r>
        <w:t xml:space="preserve"> </w:t>
      </w:r>
      <w:r w:rsidRPr="00A733D1">
        <w:t>д.</w:t>
      </w:r>
      <w:r>
        <w:t xml:space="preserve"> </w:t>
      </w:r>
      <w:r w:rsidRPr="00A733D1">
        <w:t xml:space="preserve">Красная                                      </w:t>
      </w:r>
      <w:r>
        <w:t xml:space="preserve">                       </w:t>
      </w:r>
      <w:r w:rsidRPr="00A733D1">
        <w:t xml:space="preserve">№ </w:t>
      </w:r>
      <w:r>
        <w:t>48</w:t>
      </w:r>
      <w:r w:rsidRPr="00A733D1">
        <w:t xml:space="preserve">    </w:t>
      </w:r>
    </w:p>
    <w:p w:rsidR="00042369" w:rsidRPr="00E110C3" w:rsidRDefault="00042369" w:rsidP="00042369">
      <w:pPr>
        <w:rPr>
          <w:sz w:val="28"/>
          <w:szCs w:val="28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Pr="00BA558B" w:rsidRDefault="00042369" w:rsidP="00042369">
      <w:pPr>
        <w:jc w:val="both"/>
        <w:outlineLvl w:val="0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>О вводе отдельных кодов</w:t>
      </w:r>
    </w:p>
    <w:p w:rsidR="00042369" w:rsidRPr="00BA558B" w:rsidRDefault="00042369" w:rsidP="00042369">
      <w:pPr>
        <w:jc w:val="both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>бюджетной классификации</w:t>
      </w:r>
    </w:p>
    <w:p w:rsidR="00042369" w:rsidRPr="00BA558B" w:rsidRDefault="00042369" w:rsidP="00042369">
      <w:pPr>
        <w:jc w:val="both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 xml:space="preserve">доходов бюджета </w:t>
      </w:r>
    </w:p>
    <w:p w:rsidR="00042369" w:rsidRDefault="00042369" w:rsidP="0004236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2369" w:rsidRDefault="00042369" w:rsidP="000423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2369" w:rsidRPr="00A733D1" w:rsidRDefault="00042369" w:rsidP="00042369">
      <w:pPr>
        <w:jc w:val="both"/>
      </w:pPr>
      <w:r>
        <w:rPr>
          <w:sz w:val="22"/>
          <w:szCs w:val="22"/>
        </w:rPr>
        <w:tab/>
      </w:r>
      <w:r w:rsidRPr="00A733D1">
        <w:t>На основании решения Красненского сельского Совета депутатов</w:t>
      </w:r>
      <w:r>
        <w:t xml:space="preserve"> от 07.11.2011г. № 19-56Р</w:t>
      </w:r>
      <w:r w:rsidRPr="00A733D1">
        <w:t xml:space="preserve"> « О бюджете</w:t>
      </w:r>
      <w:r>
        <w:t xml:space="preserve"> Красненского сельсовета на 2011</w:t>
      </w:r>
      <w:r w:rsidRPr="00A733D1">
        <w:t>г. и плановый период 2</w:t>
      </w:r>
      <w:r>
        <w:t xml:space="preserve">012-2013г.»  </w:t>
      </w: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Ввести следующие коды бюджетной классификации доходов бюджета:</w:t>
      </w:r>
    </w:p>
    <w:p w:rsidR="00042369" w:rsidRDefault="00042369" w:rsidP="00042369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042369" w:rsidTr="004422BC">
        <w:tc>
          <w:tcPr>
            <w:tcW w:w="678" w:type="dxa"/>
          </w:tcPr>
          <w:p w:rsidR="00042369" w:rsidRDefault="00042369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</w:tcPr>
          <w:p w:rsidR="00042369" w:rsidRDefault="00042369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</w:tcPr>
          <w:p w:rsidR="00042369" w:rsidRDefault="00042369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</w:tcPr>
          <w:p w:rsidR="00042369" w:rsidRDefault="00042369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42369" w:rsidTr="004422BC">
        <w:tc>
          <w:tcPr>
            <w:tcW w:w="678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2369" w:rsidTr="004422BC">
        <w:tc>
          <w:tcPr>
            <w:tcW w:w="678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</w:tcPr>
          <w:p w:rsidR="00042369" w:rsidRDefault="00042369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80620204999109301151</w:t>
            </w:r>
          </w:p>
        </w:tc>
        <w:tc>
          <w:tcPr>
            <w:tcW w:w="3363" w:type="dxa"/>
          </w:tcPr>
          <w:p w:rsidR="00042369" w:rsidRDefault="00042369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частичное финансирование (возмещение) расходов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>
              <w:rPr>
                <w:sz w:val="22"/>
                <w:szCs w:val="22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 и муниципальных служащих с 1 октября 2011 года на 6,5 процентов в 2011 году.</w:t>
            </w:r>
          </w:p>
        </w:tc>
      </w:tr>
    </w:tbl>
    <w:p w:rsidR="00042369" w:rsidRDefault="00042369" w:rsidP="00042369">
      <w:pPr>
        <w:ind w:left="705"/>
        <w:jc w:val="both"/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both"/>
        <w:rPr>
          <w:sz w:val="22"/>
          <w:szCs w:val="22"/>
        </w:rPr>
      </w:pPr>
    </w:p>
    <w:p w:rsidR="00042369" w:rsidRDefault="00042369" w:rsidP="0004236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042369" w:rsidRDefault="00042369" w:rsidP="00042369">
      <w:r>
        <w:rPr>
          <w:sz w:val="22"/>
          <w:szCs w:val="22"/>
        </w:rPr>
        <w:t xml:space="preserve">Красненского сельсовета                                                 О.А. Юшков                              </w:t>
      </w:r>
    </w:p>
    <w:p w:rsidR="00D01170" w:rsidRDefault="00D01170">
      <w:bookmarkStart w:id="0" w:name="_GoBack"/>
      <w:bookmarkEnd w:id="0"/>
    </w:p>
    <w:sectPr w:rsidR="00D0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D6A"/>
    <w:multiLevelType w:val="hybridMultilevel"/>
    <w:tmpl w:val="64D6E038"/>
    <w:lvl w:ilvl="0" w:tplc="8F542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A"/>
    <w:rsid w:val="00042369"/>
    <w:rsid w:val="00A6026A"/>
    <w:rsid w:val="00D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2011-11-18T06:02:00Z</dcterms:created>
  <dcterms:modified xsi:type="dcterms:W3CDTF">2011-11-18T06:02:00Z</dcterms:modified>
</cp:coreProperties>
</file>