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2" w:rsidRPr="008764E2" w:rsidRDefault="00EC3AA2" w:rsidP="00EC3AA2">
      <w:pPr>
        <w:jc w:val="center"/>
        <w:rPr>
          <w:rFonts w:ascii="Arial" w:eastAsia="Calibri" w:hAnsi="Arial" w:cs="Arial"/>
          <w:b/>
        </w:rPr>
      </w:pPr>
      <w:r w:rsidRPr="008764E2">
        <w:rPr>
          <w:rFonts w:ascii="Arial" w:eastAsia="Calibri" w:hAnsi="Arial" w:cs="Arial"/>
          <w:b/>
        </w:rPr>
        <w:t xml:space="preserve">АДМИНИСТРАЦИИ КРАСНЕНСКОГО СЕЛЬСОВЕТА </w:t>
      </w:r>
    </w:p>
    <w:p w:rsidR="00EC3AA2" w:rsidRPr="008764E2" w:rsidRDefault="00EC3AA2" w:rsidP="00EC3AA2">
      <w:pPr>
        <w:jc w:val="center"/>
        <w:rPr>
          <w:rFonts w:ascii="Arial" w:eastAsia="Calibri" w:hAnsi="Arial" w:cs="Arial"/>
          <w:b/>
        </w:rPr>
      </w:pPr>
      <w:r w:rsidRPr="008764E2">
        <w:rPr>
          <w:rFonts w:ascii="Arial" w:eastAsia="Calibri" w:hAnsi="Arial" w:cs="Arial"/>
          <w:b/>
        </w:rPr>
        <w:t>БАЛАХТИНСКОГО РАЙОНА КРАСНОЯРСКОГО КРАЯ</w:t>
      </w:r>
    </w:p>
    <w:p w:rsidR="00EC3AA2" w:rsidRPr="008764E2" w:rsidRDefault="00EC3AA2" w:rsidP="00EC3AA2">
      <w:pPr>
        <w:jc w:val="center"/>
        <w:rPr>
          <w:rFonts w:ascii="Arial" w:eastAsia="Calibri" w:hAnsi="Arial" w:cs="Arial"/>
        </w:rPr>
      </w:pPr>
    </w:p>
    <w:p w:rsidR="00EC3AA2" w:rsidRPr="008764E2" w:rsidRDefault="00EC3AA2" w:rsidP="00EC3AA2">
      <w:pPr>
        <w:jc w:val="center"/>
        <w:rPr>
          <w:rFonts w:ascii="Arial" w:eastAsia="Calibri" w:hAnsi="Arial" w:cs="Arial"/>
          <w:b/>
        </w:rPr>
      </w:pPr>
    </w:p>
    <w:p w:rsidR="00EC3AA2" w:rsidRPr="008764E2" w:rsidRDefault="00EC3AA2" w:rsidP="00EC3AA2">
      <w:pPr>
        <w:jc w:val="center"/>
        <w:rPr>
          <w:rFonts w:ascii="Arial" w:eastAsia="Calibri" w:hAnsi="Arial" w:cs="Arial"/>
          <w:b/>
        </w:rPr>
      </w:pPr>
    </w:p>
    <w:p w:rsidR="00EC3AA2" w:rsidRPr="008764E2" w:rsidRDefault="00EC3AA2" w:rsidP="00EC3AA2">
      <w:pPr>
        <w:jc w:val="center"/>
        <w:rPr>
          <w:rFonts w:ascii="Arial" w:eastAsia="Calibri" w:hAnsi="Arial" w:cs="Arial"/>
          <w:b/>
        </w:rPr>
      </w:pPr>
      <w:r w:rsidRPr="008764E2">
        <w:rPr>
          <w:rFonts w:ascii="Arial" w:eastAsia="Calibri" w:hAnsi="Arial" w:cs="Arial"/>
          <w:b/>
        </w:rPr>
        <w:t>ПОСТАНОВЛЕНИЕ</w:t>
      </w:r>
    </w:p>
    <w:p w:rsidR="00EC3AA2" w:rsidRPr="008764E2" w:rsidRDefault="00EC3AA2" w:rsidP="00EC3AA2">
      <w:pPr>
        <w:jc w:val="center"/>
        <w:rPr>
          <w:rFonts w:ascii="Arial" w:hAnsi="Arial" w:cs="Arial"/>
          <w:b/>
        </w:rPr>
      </w:pPr>
    </w:p>
    <w:p w:rsidR="00EC3AA2" w:rsidRPr="008764E2" w:rsidRDefault="00EC3AA2" w:rsidP="00EC3AA2">
      <w:pPr>
        <w:jc w:val="center"/>
        <w:rPr>
          <w:rFonts w:ascii="Arial" w:hAnsi="Arial" w:cs="Arial"/>
          <w:b/>
        </w:rPr>
      </w:pPr>
      <w:r w:rsidRPr="008764E2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EC3AA2" w:rsidRPr="008764E2" w:rsidRDefault="00EC3AA2" w:rsidP="00EC3AA2">
      <w:pPr>
        <w:jc w:val="both"/>
        <w:rPr>
          <w:rFonts w:ascii="Arial" w:hAnsi="Arial" w:cs="Arial"/>
        </w:rPr>
      </w:pPr>
      <w:r w:rsidRPr="008764E2">
        <w:rPr>
          <w:rFonts w:ascii="Arial" w:hAnsi="Arial" w:cs="Arial"/>
        </w:rPr>
        <w:t xml:space="preserve">от 30.09.2014 г.                        </w:t>
      </w:r>
      <w:r w:rsidR="008764E2">
        <w:rPr>
          <w:rFonts w:ascii="Arial" w:hAnsi="Arial" w:cs="Arial"/>
        </w:rPr>
        <w:t xml:space="preserve">        </w:t>
      </w:r>
      <w:r w:rsidRPr="008764E2">
        <w:rPr>
          <w:rFonts w:ascii="Arial" w:hAnsi="Arial" w:cs="Arial"/>
        </w:rPr>
        <w:t xml:space="preserve">  д. Красная                                      № 55</w:t>
      </w:r>
    </w:p>
    <w:p w:rsidR="00EC3AA2" w:rsidRPr="008764E2" w:rsidRDefault="00EC3AA2" w:rsidP="00EC3AA2">
      <w:pPr>
        <w:ind w:right="5395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C3AA2" w:rsidRPr="008764E2" w:rsidTr="00EC3A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C3AA2" w:rsidRPr="008764E2" w:rsidRDefault="00EC3AA2">
            <w:pPr>
              <w:ind w:right="-6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8764E2">
        <w:rPr>
          <w:rFonts w:ascii="Arial" w:hAnsi="Arial" w:cs="Arial"/>
          <w:b/>
        </w:rPr>
        <w:t>Об утверждении Примерного положения об оплате труда работников муниципальных бюджетных учреждений культуры администрации Красненского сельсовета»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 xml:space="preserve">           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 xml:space="preserve">           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самоуправления в Российской Федерации», с Законом Красноярского края от 29.10.2009 года №9-3864 «О системах оплаты труда работников краевых государственных  учреждений», Решением Красненского сельского Совета депутатов от 29.09.2014 г.  № 49-146 р «Об утверждении Положения о системе оплаты труда работников муниципальных учреждений  Красненского сельсовета», руководствуясь ст. 16,19 Устава Красненского сельсовета, 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 w:rsidRPr="008764E2">
        <w:rPr>
          <w:rFonts w:ascii="Arial" w:hAnsi="Arial" w:cs="Arial"/>
          <w:b/>
        </w:rPr>
        <w:t>ПОСТАНОВЛЯЮ: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ab/>
        <w:t>1. Утвердить Примерное положение об оплате труда работников муниципальных бюджетных учреждений культуры администрации Красненского сельсовета, согласно приложению.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ab/>
        <w:t>2. Признать утратившим силу Постановления администрации Красненского сельсовета: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ab/>
        <w:t>от 18.05.2012г. № 24 «Об утверждении Примерного положения об оплате труда работников муниципальных бюджетных учреждений культуры администрации Красненского сельсовета Балахтинского района»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ab/>
        <w:t>от 28.09.2012г. № 43 «О внесении изменений в постановление администрации Красненского сельсовета от 18.05.2012г. № 24 « Об утверждении Примерного положения об оплате труда работников муниципальных бюджетных учреждений культуры администрации Красненского сельсовета Балахтинского района».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ab/>
        <w:t>от 27.09.2013г. №  44 « О внесении изменений в постановление администрации Красненского сельсовета от 18.05.2012г. № 24 « Об утверждении Примерного положения об оплате труда работников муниципальных бюджетных учреждений культуры администрации Красненского сельсовета Балахтинского района».</w:t>
      </w:r>
    </w:p>
    <w:p w:rsidR="00EC3AA2" w:rsidRPr="008764E2" w:rsidRDefault="00EC3AA2" w:rsidP="00EC3A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ab/>
        <w:t xml:space="preserve">2. Контроль за исполнением постановления возложить на главного бухгалтера администрации Красненского сельсовета (Н.С. Чиркову). </w:t>
      </w:r>
    </w:p>
    <w:p w:rsidR="00EC3AA2" w:rsidRPr="008764E2" w:rsidRDefault="00EC3AA2" w:rsidP="00EC3AA2">
      <w:pPr>
        <w:jc w:val="both"/>
        <w:rPr>
          <w:rFonts w:ascii="Arial" w:hAnsi="Arial" w:cs="Arial"/>
        </w:rPr>
      </w:pPr>
      <w:r w:rsidRPr="008764E2">
        <w:rPr>
          <w:rFonts w:ascii="Arial" w:hAnsi="Arial" w:cs="Arial"/>
        </w:rPr>
        <w:tab/>
        <w:t>3. Постановление вступает в силу в день, следующий за днем его официального опубликования в газете «Красненские вести», и распространяет своё действие на правоотношения, возникшие  с 1 октября  2014 года.</w:t>
      </w:r>
    </w:p>
    <w:p w:rsidR="00EC3AA2" w:rsidRPr="008764E2" w:rsidRDefault="00EC3AA2" w:rsidP="00EC3AA2">
      <w:pPr>
        <w:jc w:val="both"/>
        <w:rPr>
          <w:rFonts w:ascii="Arial" w:hAnsi="Arial" w:cs="Arial"/>
        </w:rPr>
      </w:pPr>
    </w:p>
    <w:p w:rsidR="00EC3AA2" w:rsidRPr="008764E2" w:rsidRDefault="00EC3AA2" w:rsidP="00EC3AA2">
      <w:pPr>
        <w:jc w:val="both"/>
        <w:rPr>
          <w:rFonts w:ascii="Arial" w:hAnsi="Arial" w:cs="Arial"/>
        </w:rPr>
      </w:pPr>
    </w:p>
    <w:p w:rsidR="00EC3AA2" w:rsidRPr="008764E2" w:rsidRDefault="00EC3AA2" w:rsidP="00EC3AA2">
      <w:pPr>
        <w:jc w:val="both"/>
        <w:rPr>
          <w:rFonts w:ascii="Arial" w:hAnsi="Arial" w:cs="Arial"/>
        </w:rPr>
      </w:pPr>
    </w:p>
    <w:p w:rsidR="00EC3AA2" w:rsidRPr="008764E2" w:rsidRDefault="00EC3AA2" w:rsidP="00EC3AA2">
      <w:pPr>
        <w:jc w:val="both"/>
        <w:rPr>
          <w:rFonts w:ascii="Arial" w:hAnsi="Arial" w:cs="Arial"/>
        </w:rPr>
      </w:pPr>
      <w:r w:rsidRPr="008764E2">
        <w:rPr>
          <w:rFonts w:ascii="Arial" w:hAnsi="Arial" w:cs="Arial"/>
        </w:rPr>
        <w:t xml:space="preserve">Глава Красненского сельсовета                                               О.А. Юшков </w:t>
      </w:r>
    </w:p>
    <w:p w:rsidR="00EC3AA2" w:rsidRPr="008764E2" w:rsidRDefault="00EC3AA2" w:rsidP="00EC3AA2">
      <w:pPr>
        <w:jc w:val="both"/>
        <w:rPr>
          <w:rFonts w:ascii="Arial" w:hAnsi="Arial" w:cs="Arial"/>
        </w:rPr>
      </w:pPr>
    </w:p>
    <w:p w:rsidR="00EC3AA2" w:rsidRPr="008764E2" w:rsidRDefault="00EC3AA2" w:rsidP="00EC3AA2">
      <w:pPr>
        <w:jc w:val="center"/>
        <w:rPr>
          <w:rFonts w:ascii="Arial" w:eastAsia="Calibri" w:hAnsi="Arial" w:cs="Arial"/>
        </w:rPr>
      </w:pPr>
      <w:r w:rsidRPr="008764E2">
        <w:rPr>
          <w:rFonts w:ascii="Arial" w:eastAsia="Calibri" w:hAnsi="Arial" w:cs="Arial"/>
        </w:rPr>
        <w:t xml:space="preserve">                                                                                                            Приложение</w:t>
      </w:r>
    </w:p>
    <w:p w:rsidR="00EC3AA2" w:rsidRPr="008764E2" w:rsidRDefault="00EC3AA2" w:rsidP="00EC3AA2">
      <w:pPr>
        <w:jc w:val="center"/>
        <w:rPr>
          <w:rFonts w:ascii="Arial" w:eastAsia="Calibri" w:hAnsi="Arial" w:cs="Arial"/>
        </w:rPr>
      </w:pPr>
      <w:r w:rsidRPr="008764E2">
        <w:rPr>
          <w:rFonts w:ascii="Arial" w:eastAsia="Calibri" w:hAnsi="Arial" w:cs="Arial"/>
        </w:rPr>
        <w:t xml:space="preserve">                                                                           к постановлению </w:t>
      </w:r>
      <w:r w:rsidRPr="008764E2">
        <w:rPr>
          <w:rFonts w:ascii="Arial" w:hAnsi="Arial" w:cs="Arial"/>
        </w:rPr>
        <w:t xml:space="preserve">администрации </w:t>
      </w:r>
    </w:p>
    <w:p w:rsidR="00EC3AA2" w:rsidRPr="008764E2" w:rsidRDefault="00EC3AA2" w:rsidP="00EC3AA2">
      <w:pPr>
        <w:jc w:val="center"/>
        <w:rPr>
          <w:rFonts w:ascii="Arial" w:eastAsia="Calibri" w:hAnsi="Arial" w:cs="Arial"/>
        </w:rPr>
      </w:pPr>
      <w:r w:rsidRPr="008764E2">
        <w:rPr>
          <w:rFonts w:ascii="Arial" w:hAnsi="Arial" w:cs="Arial"/>
        </w:rPr>
        <w:t xml:space="preserve">                                                                                          Красненского сельсовета</w:t>
      </w:r>
      <w:r w:rsidRPr="008764E2">
        <w:rPr>
          <w:rFonts w:ascii="Arial" w:eastAsia="Calibri" w:hAnsi="Arial" w:cs="Arial"/>
        </w:rPr>
        <w:t xml:space="preserve"> </w:t>
      </w:r>
    </w:p>
    <w:p w:rsidR="00EC3AA2" w:rsidRPr="008764E2" w:rsidRDefault="00EC3AA2" w:rsidP="00EC3AA2">
      <w:pPr>
        <w:jc w:val="right"/>
        <w:rPr>
          <w:rFonts w:ascii="Arial" w:eastAsia="Calibri" w:hAnsi="Arial" w:cs="Arial"/>
        </w:rPr>
      </w:pPr>
      <w:r w:rsidRPr="008764E2">
        <w:rPr>
          <w:rFonts w:ascii="Arial" w:eastAsia="Calibri" w:hAnsi="Arial" w:cs="Arial"/>
        </w:rPr>
        <w:t>от 30.09.2014  г. № 55</w:t>
      </w:r>
    </w:p>
    <w:p w:rsidR="00EC3AA2" w:rsidRPr="008764E2" w:rsidRDefault="00EC3AA2" w:rsidP="00EC3AA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C3AA2" w:rsidRPr="008764E2" w:rsidRDefault="00EC3AA2" w:rsidP="00EC3A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64E2">
        <w:rPr>
          <w:rFonts w:ascii="Arial" w:hAnsi="Arial" w:cs="Arial"/>
          <w:sz w:val="24"/>
          <w:szCs w:val="24"/>
        </w:rPr>
        <w:t>ПРИМЕРНОЕ ПОЛОЖЕНИЕ</w:t>
      </w:r>
    </w:p>
    <w:p w:rsidR="00EC3AA2" w:rsidRPr="008764E2" w:rsidRDefault="00EC3AA2" w:rsidP="00EC3A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64E2">
        <w:rPr>
          <w:rFonts w:ascii="Arial" w:hAnsi="Arial" w:cs="Arial"/>
          <w:sz w:val="24"/>
          <w:szCs w:val="24"/>
        </w:rPr>
        <w:t>ОБ ОПЛАТЕ ТРУДА РАБОТНИКОВ МУНИЦИПАЛЬНЫХ</w:t>
      </w:r>
    </w:p>
    <w:p w:rsidR="00EC3AA2" w:rsidRPr="008764E2" w:rsidRDefault="00EC3AA2" w:rsidP="00EC3A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64E2">
        <w:rPr>
          <w:rFonts w:ascii="Arial" w:hAnsi="Arial" w:cs="Arial"/>
          <w:sz w:val="24"/>
          <w:szCs w:val="24"/>
        </w:rPr>
        <w:t>БЮДЖЕТНЫХ  УЧРЕЖДЕНИЙ КУЛЬТУРЫ АДМИНИСТРАЦИИ КРАСНЕНСКОГО СЕЛЬСОВЕТА</w:t>
      </w:r>
    </w:p>
    <w:p w:rsidR="00EC3AA2" w:rsidRPr="008764E2" w:rsidRDefault="00EC3AA2" w:rsidP="00EC3AA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764E2">
        <w:rPr>
          <w:sz w:val="24"/>
          <w:szCs w:val="24"/>
        </w:rPr>
        <w:t>I. ОБЩИЕ ПОЛОЖЕНИЯ</w:t>
      </w: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3AA2" w:rsidRPr="008764E2" w:rsidRDefault="00EC3AA2" w:rsidP="00EC3AA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8764E2">
        <w:rPr>
          <w:rFonts w:ascii="Arial" w:hAnsi="Arial" w:cs="Arial"/>
        </w:rPr>
        <w:t>Примерное положение об оплате труда работников муниципальных бюджетных  учреждений культуры администрации Красненского сельсовета (далее - Примерное положение) разработано на основании Трудового кодекса Российской Федерации, Закона Красноярского края от 29.10.2009 года №9-3864 «О системах оплаты труда работников краевых государственных  учреждений», Решения Красненского сельского Совета депутатов от  29.09.2014 г. № 49-146 р «Об утверждении Положения о системе оплаты труда работников муниципальных учреждений Красненского сельсовета», руководствуясь ст. 23, 27 Устава Красненского сельсовета  и регулирует порядок оплаты труда работников муниципальных бюджетных учреждений культуры администрации Красненского сельсовета.</w:t>
      </w:r>
    </w:p>
    <w:p w:rsidR="00EC3AA2" w:rsidRPr="008764E2" w:rsidRDefault="00EC3AA2" w:rsidP="00EC3AA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764E2">
        <w:rPr>
          <w:sz w:val="24"/>
          <w:szCs w:val="24"/>
        </w:rPr>
        <w:t>II. ПОРЯДОК И УСЛОВИЯ ОПЛАТЫ ТРУДА РАБОТНИКОВ</w:t>
      </w: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1.1. </w:t>
      </w:r>
      <w:hyperlink r:id="rId6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Минимальные размеры окладов</w:t>
        </w:r>
      </w:hyperlink>
      <w:r w:rsidRPr="008764E2">
        <w:rPr>
          <w:sz w:val="24"/>
          <w:szCs w:val="24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Примерному положению.</w:t>
      </w: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1.2. Повышающий коэффициент к окладу за квалификационную категорию устанавливается в соответствии с приложением №2 к настоящему Примерному положению.</w:t>
      </w:r>
    </w:p>
    <w:p w:rsidR="00EC3AA2" w:rsidRPr="008764E2" w:rsidRDefault="00EC3AA2" w:rsidP="00EC3AA2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8764E2">
        <w:rPr>
          <w:sz w:val="24"/>
          <w:szCs w:val="24"/>
        </w:rPr>
        <w:t xml:space="preserve">        2.     Выплаты компенсационного характера</w:t>
      </w: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     2.1. Работникам учреждений устанавливаются следующие выплаты компенсационного характера: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выплаты за работу в местностях с особыми климатическими условиями;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выплаты за работу в сельской местности специалистам;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выплаты за ненормированный рабочий день.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2.2.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7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372</w:t>
        </w:r>
      </w:hyperlink>
      <w:r w:rsidRPr="008764E2">
        <w:rPr>
          <w:sz w:val="24"/>
          <w:szCs w:val="24"/>
        </w:rPr>
        <w:t xml:space="preserve"> </w:t>
      </w:r>
      <w:r w:rsidRPr="008764E2">
        <w:rPr>
          <w:sz w:val="24"/>
          <w:szCs w:val="24"/>
        </w:rPr>
        <w:lastRenderedPageBreak/>
        <w:t>Трудового кодекса Российской Федерации, в размере до 24 процентов от оклада (должностного оклада), ставки заработной платы.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2.3.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доплату за совмещение профессий (должностей);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доплату за расширение зон обслуживания;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доплату за работу в ночное время;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доплату за работу в выходные и нерабочие праздничные дни;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доплату за сверхурочную работу.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2.3.1. Размер доплат, указанных в </w:t>
      </w:r>
      <w:hyperlink r:id="rId8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абзацах 2</w:t>
        </w:r>
      </w:hyperlink>
      <w:r w:rsidRPr="008764E2">
        <w:rPr>
          <w:sz w:val="24"/>
          <w:szCs w:val="24"/>
        </w:rPr>
        <w:t xml:space="preserve">, </w:t>
      </w:r>
      <w:hyperlink r:id="rId9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8764E2">
        <w:rPr>
          <w:sz w:val="24"/>
          <w:szCs w:val="24"/>
        </w:rPr>
        <w:t xml:space="preserve">, </w:t>
      </w:r>
      <w:hyperlink r:id="rId10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 пункта 3</w:t>
        </w:r>
      </w:hyperlink>
      <w:r w:rsidRPr="008764E2">
        <w:rPr>
          <w:sz w:val="24"/>
          <w:szCs w:val="24"/>
        </w:rPr>
        <w:t>, определяется по соглашению сторон трудового договора с учетом содержания и (или) объема дополнительной работы.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2.3.2.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2.3.3.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1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153</w:t>
        </w:r>
      </w:hyperlink>
      <w:r w:rsidRPr="008764E2">
        <w:rPr>
          <w:sz w:val="24"/>
          <w:szCs w:val="24"/>
        </w:rPr>
        <w:t xml:space="preserve"> Трудового кодекса Российской Федерации.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2.3.4. Работникам учреждений, привлекавшимся к сверхурочной работе, устанавливается повышенная оплата в соответствии со </w:t>
      </w:r>
      <w:hyperlink r:id="rId12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152</w:t>
        </w:r>
      </w:hyperlink>
      <w:r w:rsidRPr="008764E2">
        <w:rPr>
          <w:sz w:val="24"/>
          <w:szCs w:val="24"/>
        </w:rPr>
        <w:t xml:space="preserve"> Трудового кодекса Российской Федерации.</w:t>
      </w:r>
    </w:p>
    <w:p w:rsidR="00EC3AA2" w:rsidRPr="008764E2" w:rsidRDefault="00EC3AA2" w:rsidP="00EC3AA2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2.4. 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работу в местностях с особыми климатическими условиями.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2.5. Виды и размеры выплат при выполнении работ в других условиях, отклоняющихся от нормальных, выплаты за работу в сельской местности специалистам и выплаты за ненормированный рабочий день устанавливаются согласно приложения №3 к настоящему Примерному положению.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 Выплаты стимулирующего характера.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Установление стимулирующих выплат в учреждении осуществляется на основе коллективного договора, локального нормативного акта учреждения о выплатах стимулирующего характера, утверждаемого работодателем с учетом мнения представительного органа работников.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764E2">
        <w:rPr>
          <w:sz w:val="24"/>
          <w:szCs w:val="24"/>
        </w:rPr>
        <w:t>I</w:t>
      </w:r>
      <w:r w:rsidRPr="008764E2">
        <w:rPr>
          <w:sz w:val="24"/>
          <w:szCs w:val="24"/>
          <w:lang w:val="en-US"/>
        </w:rPr>
        <w:t>II</w:t>
      </w:r>
      <w:r w:rsidRPr="008764E2">
        <w:rPr>
          <w:sz w:val="24"/>
          <w:szCs w:val="24"/>
        </w:rPr>
        <w:t>. УСЛОВИЯ ОПЛАТЫ ТРУДА РУКОВОДИТЕЛЕЙ УЧРЕЖДЕНИЙ,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ИХ ЗАМЕСТИТЕЛЕЙ И ГЛАВНЫХ БУХГАЛТЕРОВ</w:t>
      </w: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3.1. Заработная плата руководителей учреждений, их заместителей и главных бухгалтеров включает в себя должностной оклад, повышающий коэффициент, выплаты компенсационного и стимулирующего характера.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3.2. Руководителям учреждений, их заместителям и главным бухгалтерам устанавливаются выплаты компенсационного характера в порядке, размерах и условиях, предусмотренных  подразделом 2 </w:t>
      </w:r>
      <w:hyperlink r:id="rId13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раздела II</w:t>
        </w:r>
      </w:hyperlink>
      <w:r w:rsidRPr="008764E2">
        <w:rPr>
          <w:sz w:val="24"/>
          <w:szCs w:val="24"/>
        </w:rPr>
        <w:t xml:space="preserve"> настоящего Примерного положения.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lastRenderedPageBreak/>
        <w:t xml:space="preserve">3.3. </w:t>
      </w:r>
      <w:hyperlink r:id="rId14" w:history="1">
        <w:r w:rsidRPr="008764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Количество</w:t>
        </w:r>
      </w:hyperlink>
      <w:r w:rsidRPr="008764E2">
        <w:rPr>
          <w:sz w:val="24"/>
          <w:szCs w:val="24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№4 к настоящему Примерному положению.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Сложившаяся к концу года отчетного периода экономия бюджетных средств по стимулирующим выплатам руководителям учреждений может направляться на стимулирование труда работников учреждений. Направление указанных средств на иные цели осуществляется по согласованию с  финансовым управлением.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3.4. Распределение средств на осуществление выплат стимулирующего характера руководителям учреждений осуществляется ежеквартально (или ежемесячно) с учетом мнения рабочей группы по установлению стимулирующих выплат. 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Руководители учреждений имеют право присутствовать на заседании рабочей группы и давать необходимые пояснения.</w:t>
      </w: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 издается приказ об установлении стимулирующих выплат.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3.5. Выплаты стимулирующего характера устанавливаются за каждый вид выплат отдельно.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 учреждений, их заместителям и главных бухгалтеров определяются согласно приложения №4 к настоящему Примерному положению. 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 Персональные выплаты к окладу (должностному окладу), ставке заработной платы устанавливаются руководителям учреждений, их заместителям и главным бухгалтерам: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 10% при наличии ведомственного нагрудного знака (значка);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 35% при наличии ученой степени доктора наук (с даты принятия решения ВАК России о выдаче диплома) или почетного звания "народный";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за сложность, напряженность и особый режим работы: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работающим музеях, библиотеках, учреждениях клубного типа в следующих размерах (в процентах от оклада (должностного оклада), ставки заработной платы):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 100% -  учреждений клубного типа;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до 60% - для детских, юношеских (молодежных) библиотек;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Расчет персональных выплат производится от оклада (должностного оклада) без учета повышающего коэффициента. 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3.6. Выплаты по итогам работы: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3.6.1. Выплаты по итогам работы за период (за месяц, квартал, год) осуществляются с целью поощрения руководителей учреждений, их заместителей и главных бухгалтеров за общие результаты труда по итогам работы.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lastRenderedPageBreak/>
        <w:t>При осуществлении выплат по итогам работы учитывается выполнение следующих критериев: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успешное и добросовестное исполнение руководителями учреждений, их заместителями и главными бухгалтерами своих должностных обязанностей в соответствующем периоде;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качество подготовки и своевременность сдачи отчетности.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3.6.2. Оценка выполнения показателей работы руководителя учреждения осуществляется учредителем, заместителем руководителя и главного бухгалтера - руководителем учреждения с изданием приказа об установлении выплаты по итогам работы за соответствующий период (месяц, квартал, год).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3.6.3.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3.6.4. Выплаты по итогам работы, предусмотренные настоящим Примерным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3.7. 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3.8. Выплаты стимулирующего характера, за исключением персональных выплат и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8764E2">
        <w:rPr>
          <w:sz w:val="24"/>
          <w:szCs w:val="24"/>
          <w:lang w:val="en-US"/>
        </w:rPr>
        <w:t>I</w:t>
      </w:r>
      <w:r w:rsidRPr="008764E2">
        <w:rPr>
          <w:sz w:val="24"/>
          <w:szCs w:val="24"/>
        </w:rPr>
        <w:t>V. РАЗМЕР СРЕДСТВ, НАПРАВЛЯЕМЫХ НА ОПЛАТУ ТРУДА РАБОТНИКОВ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УЧРЕЖДЕНИЙ, ПОЛУЧЕННЫХ ОТ ПРИНОСЯЩЕЙ ДОХОД ДЕЯТЕЛЬНОСТИ</w:t>
      </w:r>
    </w:p>
    <w:p w:rsidR="00EC3AA2" w:rsidRPr="008764E2" w:rsidRDefault="00EC3AA2" w:rsidP="00EC3AA2">
      <w:pPr>
        <w:pStyle w:val="ConsPlusNormal"/>
        <w:widowControl/>
        <w:ind w:firstLine="0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4.1. Непосредственно на выплату заработной платы работникам муниципальных бюджетных учреждений культуры администрации Балахтинского района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превышающем: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>40 % -  для клубных учреждений.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764E2">
        <w:rPr>
          <w:sz w:val="24"/>
          <w:szCs w:val="24"/>
        </w:rPr>
        <w:t xml:space="preserve">4.2. Оплата труда работников учреждений культуры за счет средств, полученных от приносящей доход деятельности, осуществляется в общем порядке, установленном действующим законодательством. </w:t>
      </w:r>
    </w:p>
    <w:p w:rsidR="00EC3AA2" w:rsidRPr="008764E2" w:rsidRDefault="00EC3AA2" w:rsidP="00EC3AA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t>Приложение № 1</w:t>
      </w: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t>к Примерному положению</w:t>
      </w: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МИНИМАЛЬНЫЕ РАЗМЕРЫ ОКЛАДОВ (ДОЛЖНОСТНЫХ ОКЛАДОВ),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СТАВОК ЗАРАБОТНОЙ ПЛАТЫ РАБОТНИКОВ УЧРЕЖДЕНИЙ</w:t>
      </w:r>
    </w:p>
    <w:p w:rsidR="00EC3AA2" w:rsidRPr="008764E2" w:rsidRDefault="00EC3AA2" w:rsidP="00EC3AA2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"/>
        <w:gridCol w:w="7175"/>
        <w:gridCol w:w="1853"/>
      </w:tblGrid>
      <w:tr w:rsidR="00EC3AA2" w:rsidRPr="008764E2" w:rsidTr="001751ED">
        <w:tc>
          <w:tcPr>
            <w:tcW w:w="534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Квалификационные группы (уровни)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Приказ Минздравсоцразвития Российской Федерации от 31.08.2007 №570 «Об утверждении профессиональных квалификационных групп должностей работников культуры, искусства и кинематографии»: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2512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3663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4937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6446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Приказ Минздравсоцразвития Российской Федерации от 14.03.2008 №121н «Об утверждении профессиональных квалификационных групп профессий рабочих культуры, искусства и кинематографии»: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2551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Профессии, отнесенные к ПКГ «Профессии рабочих культуры, искусства и кинематографии второго уровня»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2597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3167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3480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4193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Приказ Минздравсоцразвития Российской Федерации от 05.05.2008 №216н «Об утверждении профессиональных квалификационных групп должностей работников образования»: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«Должности работников учебно-вспомогательного персонала первого уровня»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2881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3842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4585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5481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5711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«Должности руководителей структурных подразделений»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4977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5589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6446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Приказ Минздравсоцразвития Российской Федерации от 06.08.2007 №526 «Об утверждении профессиональных квалификационных групп должностей медицинских и фармацевтических работников»: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«Средний медицинский и фармацевтический персонал»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2337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3650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4193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«Врачи и провизоры»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5404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Приказ Минздравсоцразвития Российской Федерации от 03.07.2008 №305н «Об утверждении профессиональных квалификационных групп должностей работников сферы научных исследований и разработок»: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«Научные работники и руководители структурных подразделений»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4977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5590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6218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6277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Приказ Минздравсоцразвития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2597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2739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2882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3167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3480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4392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4961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3167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3480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3820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4592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5361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5762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6675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7188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Приказ Минздравсоцразвития Российской Федерации от 29.05.2008 №248н «Об утверждении профессиональных квалификационных групп общеотраслевых профессий рабочих 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2231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2338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1808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2597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3167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3480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4193</w:t>
            </w:r>
          </w:p>
        </w:tc>
      </w:tr>
      <w:tr w:rsidR="00EC3AA2" w:rsidRPr="008764E2" w:rsidTr="001751ED">
        <w:tc>
          <w:tcPr>
            <w:tcW w:w="534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b/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ПКГ»: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6446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Главный режиссер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6446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Заместитель директора творческого коллектива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5157</w:t>
            </w:r>
          </w:p>
        </w:tc>
      </w:tr>
      <w:tr w:rsidR="00EC3AA2" w:rsidRPr="008764E2" w:rsidTr="001751ED">
        <w:tc>
          <w:tcPr>
            <w:tcW w:w="534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9</w:t>
            </w:r>
          </w:p>
        </w:tc>
        <w:tc>
          <w:tcPr>
            <w:tcW w:w="9037" w:type="dxa"/>
            <w:gridSpan w:val="2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b/>
                <w:sz w:val="24"/>
                <w:szCs w:val="24"/>
              </w:rPr>
              <w:t>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ПКГ»:</w:t>
            </w:r>
          </w:p>
        </w:tc>
      </w:tr>
      <w:tr w:rsidR="00EC3AA2" w:rsidRPr="008764E2" w:rsidTr="001751ED">
        <w:tc>
          <w:tcPr>
            <w:tcW w:w="534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6675</w:t>
            </w:r>
          </w:p>
        </w:tc>
      </w:tr>
      <w:tr w:rsidR="00EC3AA2" w:rsidRPr="008764E2" w:rsidTr="001751ED">
        <w:tc>
          <w:tcPr>
            <w:tcW w:w="534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Закройщик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4193</w:t>
            </w:r>
          </w:p>
        </w:tc>
      </w:tr>
      <w:tr w:rsidR="00EC3AA2" w:rsidRPr="008764E2" w:rsidTr="001751ED">
        <w:tc>
          <w:tcPr>
            <w:tcW w:w="534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Макетчик театрально-постановочных макетов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4193</w:t>
            </w:r>
          </w:p>
        </w:tc>
      </w:tr>
      <w:tr w:rsidR="00EC3AA2" w:rsidRPr="008764E2" w:rsidTr="001751ED">
        <w:tc>
          <w:tcPr>
            <w:tcW w:w="534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Реставратор архивных и библиотечных материалов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4193</w:t>
            </w:r>
          </w:p>
        </w:tc>
      </w:tr>
      <w:tr w:rsidR="00EC3AA2" w:rsidRPr="008764E2" w:rsidTr="001751ED">
        <w:tc>
          <w:tcPr>
            <w:tcW w:w="534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Сотрудник службы безопасности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4636</w:t>
            </w:r>
          </w:p>
        </w:tc>
      </w:tr>
      <w:tr w:rsidR="00EC3AA2" w:rsidRPr="008764E2" w:rsidTr="001751ED">
        <w:tc>
          <w:tcPr>
            <w:tcW w:w="534" w:type="dxa"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Столяр</w:t>
            </w:r>
          </w:p>
        </w:tc>
        <w:tc>
          <w:tcPr>
            <w:tcW w:w="1808" w:type="dxa"/>
            <w:hideMark/>
          </w:tcPr>
          <w:p w:rsidR="00EC3AA2" w:rsidRPr="008764E2" w:rsidRDefault="00EC3AA2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4193</w:t>
            </w:r>
          </w:p>
        </w:tc>
      </w:tr>
    </w:tbl>
    <w:p w:rsidR="00EC3AA2" w:rsidRPr="008764E2" w:rsidRDefault="00EC3AA2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EC3AA2" w:rsidRDefault="00EC3AA2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1751ED" w:rsidRPr="008764E2" w:rsidRDefault="001751ED" w:rsidP="00EC3AA2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lastRenderedPageBreak/>
        <w:t>Приложение N 2</w:t>
      </w: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t>к Примерному положению</w:t>
      </w:r>
    </w:p>
    <w:p w:rsidR="00EC3AA2" w:rsidRPr="008764E2" w:rsidRDefault="00EC3AA2" w:rsidP="00EC3AA2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ПОВЫШАЮЩИЕ КОЭФФИЦИЕНТЫ К МИНИМАЛЬНОМУ ОКЛАДУ (ДОЛЖНОСТНОМУ ОКЛАДУ)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numPr>
          <w:ilvl w:val="0"/>
          <w:numId w:val="1"/>
        </w:numPr>
        <w:rPr>
          <w:sz w:val="24"/>
          <w:szCs w:val="24"/>
        </w:rPr>
      </w:pPr>
      <w:r w:rsidRPr="008764E2">
        <w:rPr>
          <w:sz w:val="24"/>
          <w:szCs w:val="24"/>
        </w:rPr>
        <w:t>Повышающие коэффициенты устанавливаются в зависимости от квалификационной категории, присвоенной работнику за профессиональное мастерство в следующих размерах</w:t>
      </w:r>
    </w:p>
    <w:tbl>
      <w:tblPr>
        <w:tblpPr w:leftFromText="180" w:rightFromText="180" w:vertAnchor="text" w:horzAnchor="margin" w:tblpXSpec="center" w:tblpY="186"/>
        <w:tblW w:w="9747" w:type="dxa"/>
        <w:tblLook w:val="01E0" w:firstRow="1" w:lastRow="1" w:firstColumn="1" w:lastColumn="1" w:noHBand="0" w:noVBand="0"/>
      </w:tblPr>
      <w:tblGrid>
        <w:gridCol w:w="648"/>
        <w:gridCol w:w="6123"/>
        <w:gridCol w:w="2976"/>
      </w:tblGrid>
      <w:tr w:rsidR="00EC3AA2" w:rsidRPr="008764E2" w:rsidTr="001751ED">
        <w:tc>
          <w:tcPr>
            <w:tcW w:w="648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№ п/п</w:t>
            </w:r>
          </w:p>
        </w:tc>
        <w:tc>
          <w:tcPr>
            <w:tcW w:w="6123" w:type="dxa"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976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EC3AA2" w:rsidRPr="008764E2" w:rsidTr="001751ED">
        <w:tc>
          <w:tcPr>
            <w:tcW w:w="648" w:type="dxa"/>
            <w:vMerge w:val="restart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1.</w:t>
            </w:r>
          </w:p>
        </w:tc>
        <w:tc>
          <w:tcPr>
            <w:tcW w:w="6123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За наличие квалификационной категории:</w:t>
            </w:r>
          </w:p>
        </w:tc>
        <w:tc>
          <w:tcPr>
            <w:tcW w:w="2976" w:type="dxa"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высшей  квалификационной категории</w:t>
            </w:r>
          </w:p>
        </w:tc>
        <w:tc>
          <w:tcPr>
            <w:tcW w:w="2976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2976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15</w:t>
            </w:r>
          </w:p>
        </w:tc>
      </w:tr>
      <w:tr w:rsidR="00EC3AA2" w:rsidRPr="008764E2" w:rsidTr="001751ED">
        <w:tc>
          <w:tcPr>
            <w:tcW w:w="0" w:type="auto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второй квалификационной категории</w:t>
            </w:r>
          </w:p>
        </w:tc>
        <w:tc>
          <w:tcPr>
            <w:tcW w:w="2976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10</w:t>
            </w:r>
          </w:p>
        </w:tc>
      </w:tr>
    </w:tbl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t>Приложение N 3</w:t>
      </w: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t>к Примерному положению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ВИДЫ И РАЗМЕРЫ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НОРМАЛЬНЫХ)</w:t>
      </w:r>
    </w:p>
    <w:tbl>
      <w:tblPr>
        <w:tblpPr w:leftFromText="180" w:rightFromText="180" w:vertAnchor="text" w:horzAnchor="margin" w:tblpXSpec="center" w:tblpY="186"/>
        <w:tblW w:w="10368" w:type="dxa"/>
        <w:tblLook w:val="01E0" w:firstRow="1" w:lastRow="1" w:firstColumn="1" w:lastColumn="1" w:noHBand="0" w:noVBand="0"/>
      </w:tblPr>
      <w:tblGrid>
        <w:gridCol w:w="648"/>
        <w:gridCol w:w="7380"/>
        <w:gridCol w:w="2340"/>
      </w:tblGrid>
      <w:tr w:rsidR="00EC3AA2" w:rsidRPr="008764E2" w:rsidTr="001751ED">
        <w:tc>
          <w:tcPr>
            <w:tcW w:w="648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№ п/п</w:t>
            </w:r>
          </w:p>
        </w:tc>
        <w:tc>
          <w:tcPr>
            <w:tcW w:w="738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34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EC3AA2" w:rsidRPr="008764E2" w:rsidTr="001751ED">
        <w:tc>
          <w:tcPr>
            <w:tcW w:w="648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1.</w:t>
            </w:r>
          </w:p>
        </w:tc>
        <w:tc>
          <w:tcPr>
            <w:tcW w:w="738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Водителям легковых автомобилей за классность</w:t>
            </w:r>
          </w:p>
        </w:tc>
        <w:tc>
          <w:tcPr>
            <w:tcW w:w="234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</w:t>
            </w:r>
          </w:p>
        </w:tc>
      </w:tr>
      <w:tr w:rsidR="00EC3AA2" w:rsidRPr="008764E2" w:rsidTr="001751ED">
        <w:tc>
          <w:tcPr>
            <w:tcW w:w="648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2.</w:t>
            </w:r>
          </w:p>
        </w:tc>
        <w:tc>
          <w:tcPr>
            <w:tcW w:w="738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За работу в сельской местности специалистам</w:t>
            </w:r>
          </w:p>
        </w:tc>
        <w:tc>
          <w:tcPr>
            <w:tcW w:w="234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25</w:t>
            </w:r>
          </w:p>
        </w:tc>
      </w:tr>
      <w:tr w:rsidR="00EC3AA2" w:rsidRPr="008764E2" w:rsidTr="001751ED">
        <w:tc>
          <w:tcPr>
            <w:tcW w:w="648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3.</w:t>
            </w:r>
          </w:p>
        </w:tc>
        <w:tc>
          <w:tcPr>
            <w:tcW w:w="738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both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За ненормированный рабочий день</w:t>
            </w:r>
          </w:p>
        </w:tc>
        <w:tc>
          <w:tcPr>
            <w:tcW w:w="2340" w:type="dxa"/>
            <w:hideMark/>
          </w:tcPr>
          <w:p w:rsidR="00EC3AA2" w:rsidRPr="008764E2" w:rsidRDefault="00EC3AA2">
            <w:pPr>
              <w:pStyle w:val="ConsPlusNormal"/>
              <w:widowControl/>
              <w:spacing w:line="360" w:lineRule="atLeas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15</w:t>
            </w:r>
          </w:p>
        </w:tc>
      </w:tr>
    </w:tbl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C3AA2" w:rsidRPr="008764E2" w:rsidRDefault="00EC3AA2" w:rsidP="00EC3AA2">
      <w:pPr>
        <w:pStyle w:val="ConsPlusNormal"/>
        <w:widowControl/>
        <w:ind w:firstLine="0"/>
        <w:rPr>
          <w:sz w:val="24"/>
          <w:szCs w:val="24"/>
        </w:rPr>
      </w:pPr>
      <w:r w:rsidRPr="008764E2">
        <w:rPr>
          <w:sz w:val="24"/>
          <w:szCs w:val="24"/>
        </w:rPr>
        <w:t>- компенсационные выплаты рассчитываются от оклада (должностного оклада) без учета повышающего коэффициента.</w:t>
      </w:r>
    </w:p>
    <w:p w:rsidR="00EC3AA2" w:rsidRPr="008764E2" w:rsidRDefault="00EC3AA2" w:rsidP="00EC3AA2">
      <w:pPr>
        <w:pStyle w:val="a4"/>
        <w:spacing w:after="0" w:line="240" w:lineRule="auto"/>
        <w:jc w:val="center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Default="00EC3AA2" w:rsidP="001751ED">
      <w:pPr>
        <w:pStyle w:val="a4"/>
        <w:spacing w:after="0" w:line="240" w:lineRule="auto"/>
        <w:rPr>
          <w:rFonts w:ascii="Arial" w:hAnsi="Arial" w:cs="Arial"/>
        </w:rPr>
      </w:pPr>
    </w:p>
    <w:p w:rsidR="001751ED" w:rsidRDefault="001751ED" w:rsidP="001751ED">
      <w:pPr>
        <w:pStyle w:val="a4"/>
        <w:spacing w:after="0" w:line="240" w:lineRule="auto"/>
        <w:rPr>
          <w:rFonts w:ascii="Arial" w:hAnsi="Arial" w:cs="Arial"/>
        </w:rPr>
      </w:pPr>
    </w:p>
    <w:p w:rsidR="001751ED" w:rsidRPr="008764E2" w:rsidRDefault="001751ED" w:rsidP="001751ED">
      <w:pPr>
        <w:pStyle w:val="a4"/>
        <w:spacing w:after="0" w:line="240" w:lineRule="auto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lastRenderedPageBreak/>
        <w:t>Приложение N 4</w:t>
      </w: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t>к Примерному положению</w:t>
      </w: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КРИТЕРИИ ОЦЕНКИ РЕЗУЛЬТАТИВНОСТИ И КАЧЕСТВА ДЕЯТЕЛЬНОСТИ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УЧРЕЖДЕНИЙ КУЛЬТУРЫ 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И ОТВЕТСТВЕННОСТИ ПРИ ВЫПОЛНЕНИИ ПОСТАВЛЕННЫХ ЗАДАЧ,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ЗА КАЧЕСТВО ВЫПОЛНЯЕМЫХ РАБОТ (ДАЛЕЕ - ВЫПЛАТЫ)</w:t>
      </w:r>
    </w:p>
    <w:p w:rsidR="00EC3AA2" w:rsidRPr="008764E2" w:rsidRDefault="00EC3AA2" w:rsidP="00EC3AA2">
      <w:pPr>
        <w:pStyle w:val="a4"/>
        <w:spacing w:after="0"/>
        <w:jc w:val="both"/>
        <w:rPr>
          <w:rFonts w:ascii="Arial" w:hAnsi="Arial" w:cs="Arial"/>
        </w:rPr>
      </w:pPr>
    </w:p>
    <w:tbl>
      <w:tblPr>
        <w:tblW w:w="24480" w:type="dxa"/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4452"/>
        <w:gridCol w:w="1440"/>
        <w:gridCol w:w="360"/>
        <w:gridCol w:w="1818"/>
        <w:gridCol w:w="4158"/>
        <w:gridCol w:w="4158"/>
        <w:gridCol w:w="4158"/>
      </w:tblGrid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Должность</w:t>
            </w:r>
          </w:p>
        </w:tc>
        <w:tc>
          <w:tcPr>
            <w:tcW w:w="2268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Содержание </w:t>
            </w:r>
            <w:r w:rsidRPr="008764E2">
              <w:rPr>
                <w:rFonts w:ascii="Arial" w:hAnsi="Arial" w:cs="Arial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Размер от оклада (должностного оклада), ставки заработной платы, %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c>
          <w:tcPr>
            <w:tcW w:w="9828" w:type="dxa"/>
            <w:gridSpan w:val="4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  <w:tc>
          <w:tcPr>
            <w:tcW w:w="2178" w:type="dxa"/>
            <w:gridSpan w:val="2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Директор учреждения</w:t>
            </w: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 xml:space="preserve">сложность организации и управления учреждением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достижение конкрентно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отсутствие кредиторской задолженности </w:t>
            </w:r>
            <w:r w:rsidRPr="008764E2">
              <w:rPr>
                <w:rFonts w:ascii="Arial" w:hAnsi="Arial" w:cs="Arial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выполнение показателей результативности деятельности учреждения: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95 до 98%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98 до 100%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  <w:spacing w:val="-2"/>
              </w:rPr>
              <w:t>более 100%</w:t>
            </w:r>
          </w:p>
        </w:tc>
        <w:tc>
          <w:tcPr>
            <w:tcW w:w="144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30 до 40</w:t>
            </w: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40 до 50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Заместитель директора </w:t>
            </w: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 xml:space="preserve">сложность организации и управления основной, </w:t>
            </w:r>
            <w:r w:rsidRPr="008764E2">
              <w:rPr>
                <w:rFonts w:ascii="Arial" w:hAnsi="Arial" w:cs="Arial"/>
              </w:rPr>
              <w:lastRenderedPageBreak/>
              <w:t xml:space="preserve">финансовой, административно-хозяйственной деятельностью учреждения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lastRenderedPageBreak/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выполнение показателей результативности деятельности учреждения: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95 до 98%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98 до 100%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  <w:spacing w:val="-2"/>
              </w:rPr>
              <w:t>более 100%</w:t>
            </w:r>
          </w:p>
        </w:tc>
        <w:tc>
          <w:tcPr>
            <w:tcW w:w="144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20 до 30</w:t>
            </w: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30 до 40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Главный бухгалтер</w:t>
            </w: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 xml:space="preserve">сложность организации и управления финансовой деятельностью учреждения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</w:rPr>
              <w:t>привлечение экономических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отсутствие кредиторской задолженности </w:t>
            </w:r>
            <w:r w:rsidRPr="008764E2">
              <w:rPr>
                <w:rFonts w:ascii="Arial" w:hAnsi="Arial" w:cs="Arial"/>
              </w:rPr>
              <w:t xml:space="preserve">по начисленным выплатам по оплате труда перед работниками (сотрудниками) учреждения (за исключением депонированных сумм) </w:t>
            </w:r>
          </w:p>
        </w:tc>
        <w:tc>
          <w:tcPr>
            <w:tcW w:w="1440" w:type="dxa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c>
          <w:tcPr>
            <w:tcW w:w="9828" w:type="dxa"/>
            <w:gridSpan w:val="4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</w:rPr>
              <w:t>Выплаты  за качество выполняемых работ</w:t>
            </w:r>
          </w:p>
        </w:tc>
        <w:tc>
          <w:tcPr>
            <w:tcW w:w="2178" w:type="dxa"/>
            <w:gridSpan w:val="2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Директор учреждения</w:t>
            </w:r>
          </w:p>
        </w:tc>
        <w:tc>
          <w:tcPr>
            <w:tcW w:w="2268" w:type="dxa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50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40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80 до 90%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90 до 100%</w:t>
            </w:r>
          </w:p>
        </w:tc>
        <w:tc>
          <w:tcPr>
            <w:tcW w:w="1440" w:type="dxa"/>
            <w:vAlign w:val="center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до 20 </w:t>
            </w: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20 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Заместитель директора  по основной деятельности учреждения</w:t>
            </w: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отсутствие нарушений и срывов работы по материально-техническим причинам (содержание имущества в соответствии с нормативными </w:t>
            </w:r>
            <w:r w:rsidRPr="008764E2">
              <w:rPr>
                <w:rFonts w:ascii="Arial" w:hAnsi="Arial" w:cs="Arial"/>
                <w:spacing w:val="-2"/>
              </w:rPr>
              <w:lastRenderedPageBreak/>
              <w:t>требованиями)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lastRenderedPageBreak/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Заместитель директора учреждения по финансовым вопросам</w:t>
            </w: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нарушений и срывов работы в результате несоблюдения трудовой дисциплины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Заместитель директора учреждения по АХР</w:t>
            </w: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аварий и срывов работы в результате несоблюдения трудовой дисциплины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аварий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обоснованных зафиксированных замечаний к заместителю руководителя со стороны контролирующих органов, учредителя, граждан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1668" w:type="dxa"/>
            <w:vMerge w:val="restart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Главный бухгалтер</w:t>
            </w: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 xml:space="preserve">обеспечение стабильности финансовой деятельности 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10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своевременное, полное и достоверное представление отчетности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15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vMerge w:val="restart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непрерывное профессиональное образование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участие в работе курсов, семинаров, конференций: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1 до 2</w:t>
            </w:r>
          </w:p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более 2</w:t>
            </w:r>
          </w:p>
        </w:tc>
        <w:tc>
          <w:tcPr>
            <w:tcW w:w="1440" w:type="dxa"/>
            <w:vAlign w:val="center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 20 до 30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5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C3AA2" w:rsidRPr="008764E2" w:rsidTr="001751ED">
        <w:trPr>
          <w:gridAfter w:val="4"/>
          <w:wAfter w:w="14292" w:type="dxa"/>
        </w:trPr>
        <w:tc>
          <w:tcPr>
            <w:tcW w:w="300" w:type="dxa"/>
            <w:vMerge/>
            <w:vAlign w:val="center"/>
            <w:hideMark/>
          </w:tcPr>
          <w:p w:rsidR="00EC3AA2" w:rsidRPr="008764E2" w:rsidRDefault="00EC3AA2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268" w:type="dxa"/>
            <w:hideMark/>
          </w:tcPr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ответственное отношение к своим обязанностям</w:t>
            </w:r>
          </w:p>
        </w:tc>
        <w:tc>
          <w:tcPr>
            <w:tcW w:w="4452" w:type="dxa"/>
            <w:hideMark/>
          </w:tcPr>
          <w:p w:rsidR="00EC3AA2" w:rsidRPr="008764E2" w:rsidRDefault="00EC3AA2">
            <w:pPr>
              <w:spacing w:line="232" w:lineRule="auto"/>
              <w:jc w:val="both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440" w:type="dxa"/>
            <w:vAlign w:val="center"/>
            <w:hideMark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  <w:r w:rsidRPr="008764E2">
              <w:rPr>
                <w:rFonts w:ascii="Arial" w:hAnsi="Arial" w:cs="Arial"/>
                <w:spacing w:val="-2"/>
              </w:rPr>
              <w:t>до 20</w:t>
            </w:r>
          </w:p>
        </w:tc>
        <w:tc>
          <w:tcPr>
            <w:tcW w:w="360" w:type="dxa"/>
          </w:tcPr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C3AA2" w:rsidRPr="008764E2" w:rsidRDefault="00EC3AA2">
            <w:pPr>
              <w:spacing w:line="232" w:lineRule="auto"/>
              <w:rPr>
                <w:rFonts w:ascii="Arial" w:hAnsi="Arial" w:cs="Arial"/>
                <w:spacing w:val="-2"/>
              </w:rPr>
            </w:pPr>
          </w:p>
        </w:tc>
      </w:tr>
    </w:tbl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</w:p>
    <w:p w:rsidR="00EC3AA2" w:rsidRPr="008764E2" w:rsidRDefault="00EC3AA2" w:rsidP="001751ED">
      <w:pPr>
        <w:pStyle w:val="a4"/>
        <w:spacing w:after="0" w:line="240" w:lineRule="auto"/>
        <w:rPr>
          <w:rFonts w:ascii="Arial" w:hAnsi="Arial" w:cs="Arial"/>
        </w:rPr>
      </w:pP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lastRenderedPageBreak/>
        <w:t>Приложение № 5</w:t>
      </w:r>
    </w:p>
    <w:p w:rsidR="00EC3AA2" w:rsidRPr="008764E2" w:rsidRDefault="00EC3AA2" w:rsidP="00EC3AA2">
      <w:pPr>
        <w:pStyle w:val="a4"/>
        <w:spacing w:after="0" w:line="240" w:lineRule="auto"/>
        <w:jc w:val="right"/>
        <w:rPr>
          <w:rFonts w:ascii="Arial" w:hAnsi="Arial" w:cs="Arial"/>
        </w:rPr>
      </w:pPr>
      <w:r w:rsidRPr="008764E2">
        <w:rPr>
          <w:rFonts w:ascii="Arial" w:hAnsi="Arial" w:cs="Arial"/>
        </w:rPr>
        <w:t>к Примерному положению</w:t>
      </w:r>
    </w:p>
    <w:p w:rsidR="00EC3AA2" w:rsidRPr="008764E2" w:rsidRDefault="00EC3AA2" w:rsidP="00EC3AA2">
      <w:pPr>
        <w:pStyle w:val="a4"/>
        <w:spacing w:after="0" w:line="240" w:lineRule="auto"/>
        <w:jc w:val="center"/>
        <w:rPr>
          <w:rFonts w:ascii="Arial" w:hAnsi="Arial" w:cs="Arial"/>
        </w:rPr>
      </w:pP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764E2">
        <w:rPr>
          <w:sz w:val="24"/>
          <w:szCs w:val="24"/>
        </w:rPr>
        <w:t>КОЛИЧЕСТВО ДОЛЖНОСТНЫХ ОКЛАДОВ РУКОВОДИТЕЛЕЙ УЧРЕЖДЕНИЙ КУЛЬТУРЫ, УЧИТЫВАЕМЫХ ПРИ ОПРЕДЕЛЕНИИ ОБЪЕМА СРЕДСТВ НА ВЫПЛАТЫ СТИМУЛИРУЮЩЕГО ХАРАКТЕРА РУКОВОДИТЕЛЯМ УЧРЕЖДЕНИЙ, В ГОД</w:t>
      </w:r>
    </w:p>
    <w:p w:rsidR="00EC3AA2" w:rsidRPr="008764E2" w:rsidRDefault="00EC3AA2" w:rsidP="00EC3AA2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"/>
        <w:gridCol w:w="5839"/>
        <w:gridCol w:w="3189"/>
      </w:tblGrid>
      <w:tr w:rsidR="00EC3AA2" w:rsidRPr="008764E2" w:rsidTr="001751ED">
        <w:trPr>
          <w:trHeight w:val="1267"/>
        </w:trPr>
        <w:tc>
          <w:tcPr>
            <w:tcW w:w="540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№</w:t>
            </w:r>
          </w:p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п/п</w:t>
            </w:r>
          </w:p>
        </w:tc>
        <w:tc>
          <w:tcPr>
            <w:tcW w:w="5841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 w:rsidRPr="008764E2">
              <w:rPr>
                <w:sz w:val="24"/>
                <w:szCs w:val="24"/>
              </w:rPr>
              <w:t>Учреждения</w:t>
            </w:r>
          </w:p>
        </w:tc>
        <w:tc>
          <w:tcPr>
            <w:tcW w:w="3190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 w:rsidRPr="008764E2">
              <w:rPr>
                <w:color w:val="000000"/>
                <w:sz w:val="24"/>
                <w:szCs w:val="24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EC3AA2" w:rsidRPr="008764E2" w:rsidTr="001751ED">
        <w:tc>
          <w:tcPr>
            <w:tcW w:w="540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right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</w:t>
            </w:r>
          </w:p>
        </w:tc>
      </w:tr>
      <w:tr w:rsidR="00EC3AA2" w:rsidRPr="008764E2" w:rsidTr="001751ED">
        <w:tc>
          <w:tcPr>
            <w:tcW w:w="540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1</w:t>
            </w:r>
          </w:p>
        </w:tc>
        <w:tc>
          <w:tcPr>
            <w:tcW w:w="5841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both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Учреждения культуры клубного типа</w:t>
            </w:r>
          </w:p>
        </w:tc>
        <w:tc>
          <w:tcPr>
            <w:tcW w:w="3190" w:type="dxa"/>
            <w:hideMark/>
          </w:tcPr>
          <w:p w:rsidR="00EC3AA2" w:rsidRPr="008764E2" w:rsidRDefault="00EC3AA2">
            <w:pPr>
              <w:pStyle w:val="ConsPlusNormal"/>
              <w:widowControl/>
              <w:tabs>
                <w:tab w:val="left" w:pos="345"/>
                <w:tab w:val="left" w:pos="1515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764E2">
              <w:rPr>
                <w:sz w:val="24"/>
                <w:szCs w:val="24"/>
              </w:rPr>
              <w:t>34</w:t>
            </w:r>
          </w:p>
        </w:tc>
      </w:tr>
    </w:tbl>
    <w:p w:rsidR="00EC3AA2" w:rsidRPr="008764E2" w:rsidRDefault="00EC3AA2" w:rsidP="00EC3AA2">
      <w:pPr>
        <w:pStyle w:val="ConsPlusNormal"/>
        <w:widowControl/>
        <w:tabs>
          <w:tab w:val="left" w:pos="345"/>
          <w:tab w:val="left" w:pos="1515"/>
        </w:tabs>
        <w:ind w:firstLine="0"/>
        <w:jc w:val="both"/>
        <w:rPr>
          <w:sz w:val="24"/>
          <w:szCs w:val="24"/>
        </w:rPr>
      </w:pPr>
    </w:p>
    <w:p w:rsidR="00EC3AA2" w:rsidRPr="008764E2" w:rsidRDefault="00EC3AA2" w:rsidP="00EC3AA2">
      <w:pPr>
        <w:jc w:val="both"/>
        <w:rPr>
          <w:rFonts w:ascii="Arial" w:hAnsi="Arial" w:cs="Arial"/>
        </w:rPr>
      </w:pPr>
    </w:p>
    <w:p w:rsidR="00F76536" w:rsidRPr="008764E2" w:rsidRDefault="00F76536">
      <w:pPr>
        <w:rPr>
          <w:rFonts w:ascii="Arial" w:hAnsi="Arial" w:cs="Arial"/>
        </w:rPr>
      </w:pPr>
      <w:bookmarkStart w:id="0" w:name="_GoBack"/>
      <w:bookmarkEnd w:id="0"/>
    </w:p>
    <w:sectPr w:rsidR="00F76536" w:rsidRPr="0087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D7D"/>
    <w:multiLevelType w:val="hybridMultilevel"/>
    <w:tmpl w:val="C8E0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2A"/>
    <w:rsid w:val="001751ED"/>
    <w:rsid w:val="0077652A"/>
    <w:rsid w:val="008764E2"/>
    <w:rsid w:val="00EC3AA2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3AA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C3AA2"/>
    <w:pPr>
      <w:spacing w:after="200" w:line="276" w:lineRule="auto"/>
    </w:pPr>
  </w:style>
  <w:style w:type="paragraph" w:customStyle="1" w:styleId="ConsPlusTitle">
    <w:name w:val="ConsPlusTitle"/>
    <w:uiPriority w:val="99"/>
    <w:rsid w:val="00EC3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C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3AA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C3AA2"/>
    <w:pPr>
      <w:spacing w:after="200" w:line="276" w:lineRule="auto"/>
    </w:pPr>
  </w:style>
  <w:style w:type="paragraph" w:customStyle="1" w:styleId="ConsPlusTitle">
    <w:name w:val="ConsPlusTitle"/>
    <w:uiPriority w:val="99"/>
    <w:rsid w:val="00EC3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EC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5" TargetMode="External"/><Relationship Id="rId13" Type="http://schemas.openxmlformats.org/officeDocument/2006/relationships/hyperlink" Target="consultantplus://offline/ref=46C09E990CDB69D73B7F8430F7B939218DD1C8691C59F11B7358484B1D7607BD53F07498667001EC67C034H32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167;fld=134;dst=1292" TargetMode="External"/><Relationship Id="rId12" Type="http://schemas.openxmlformats.org/officeDocument/2006/relationships/hyperlink" Target="consultantplus://offline/main?base=LAW;n=117167;fld=134;dst=7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4044;fld=134;dst=100049" TargetMode="External"/><Relationship Id="rId11" Type="http://schemas.openxmlformats.org/officeDocument/2006/relationships/hyperlink" Target="consultantplus://offline/main?base=LAW;n=117167;fld=134;dst=7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23;n=64041;fld=134;dst=10004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4041;fld=134;dst=100046" TargetMode="External"/><Relationship Id="rId14" Type="http://schemas.openxmlformats.org/officeDocument/2006/relationships/hyperlink" Target="consultantplus://offline/ref=46C09E990CDB69D73B7F8430F7B939218DD1C8691C59F11B7358484B1D7607BD53F07498667001EC67C136H32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красная</cp:lastModifiedBy>
  <cp:revision>3</cp:revision>
  <dcterms:created xsi:type="dcterms:W3CDTF">2014-09-30T06:22:00Z</dcterms:created>
  <dcterms:modified xsi:type="dcterms:W3CDTF">2016-12-22T07:59:00Z</dcterms:modified>
</cp:coreProperties>
</file>